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98" w:type="dxa"/>
        <w:tblLook w:val="04A0" w:firstRow="1" w:lastRow="0" w:firstColumn="1" w:lastColumn="0" w:noHBand="0" w:noVBand="1"/>
      </w:tblPr>
      <w:tblGrid>
        <w:gridCol w:w="2970"/>
        <w:gridCol w:w="6210"/>
      </w:tblGrid>
      <w:tr w:rsidR="00F44720" w:rsidTr="00290107">
        <w:tc>
          <w:tcPr>
            <w:tcW w:w="2970" w:type="dxa"/>
          </w:tcPr>
          <w:p w:rsidR="00F44720" w:rsidRDefault="00F44720" w:rsidP="00290107">
            <w:pPr>
              <w:spacing w:after="0"/>
              <w:ind w:left="90"/>
              <w:rPr>
                <w:b/>
              </w:rPr>
            </w:pPr>
            <w:r w:rsidRPr="00A0501E">
              <w:rPr>
                <w:b/>
              </w:rPr>
              <w:t>Institution Name:</w:t>
            </w:r>
          </w:p>
        </w:tc>
        <w:tc>
          <w:tcPr>
            <w:tcW w:w="6210" w:type="dxa"/>
          </w:tcPr>
          <w:p w:rsidR="00F44720" w:rsidRDefault="00F44720" w:rsidP="00527BB7">
            <w:pPr>
              <w:spacing w:after="0"/>
              <w:rPr>
                <w:b/>
              </w:rPr>
            </w:pPr>
          </w:p>
        </w:tc>
      </w:tr>
      <w:tr w:rsidR="00F44720" w:rsidTr="00290107">
        <w:tc>
          <w:tcPr>
            <w:tcW w:w="2970" w:type="dxa"/>
          </w:tcPr>
          <w:p w:rsidR="00F44720" w:rsidRDefault="00F44720" w:rsidP="00290107">
            <w:pPr>
              <w:spacing w:after="0"/>
              <w:ind w:left="90"/>
              <w:rPr>
                <w:b/>
              </w:rPr>
            </w:pPr>
            <w:r w:rsidRPr="00A0501E">
              <w:rPr>
                <w:b/>
              </w:rPr>
              <w:t>Institutional Course Name:</w:t>
            </w:r>
          </w:p>
        </w:tc>
        <w:tc>
          <w:tcPr>
            <w:tcW w:w="6210" w:type="dxa"/>
          </w:tcPr>
          <w:p w:rsidR="00F44720" w:rsidRDefault="00F44720" w:rsidP="00527BB7">
            <w:pPr>
              <w:spacing w:after="0"/>
              <w:rPr>
                <w:b/>
              </w:rPr>
            </w:pPr>
          </w:p>
        </w:tc>
      </w:tr>
      <w:tr w:rsidR="00F44720" w:rsidTr="00290107">
        <w:tc>
          <w:tcPr>
            <w:tcW w:w="2970" w:type="dxa"/>
          </w:tcPr>
          <w:p w:rsidR="00F44720" w:rsidRDefault="00F44720" w:rsidP="00290107">
            <w:pPr>
              <w:spacing w:after="0"/>
              <w:ind w:left="90"/>
              <w:rPr>
                <w:b/>
              </w:rPr>
            </w:pPr>
            <w:r w:rsidRPr="00A0501E">
              <w:rPr>
                <w:b/>
              </w:rPr>
              <w:t>Institutional Course Number:</w:t>
            </w:r>
          </w:p>
        </w:tc>
        <w:tc>
          <w:tcPr>
            <w:tcW w:w="6210" w:type="dxa"/>
          </w:tcPr>
          <w:p w:rsidR="00F44720" w:rsidRDefault="00F44720" w:rsidP="00527BB7">
            <w:pPr>
              <w:spacing w:after="0"/>
              <w:rPr>
                <w:b/>
              </w:rPr>
            </w:pPr>
          </w:p>
        </w:tc>
      </w:tr>
      <w:tr w:rsidR="00F44720" w:rsidTr="00290107">
        <w:tc>
          <w:tcPr>
            <w:tcW w:w="2970" w:type="dxa"/>
          </w:tcPr>
          <w:p w:rsidR="00F44720" w:rsidRPr="00A0501E" w:rsidRDefault="00F44720" w:rsidP="00290107">
            <w:pPr>
              <w:spacing w:after="0"/>
              <w:ind w:left="90"/>
              <w:rPr>
                <w:b/>
              </w:rPr>
            </w:pPr>
            <w:r>
              <w:rPr>
                <w:b/>
              </w:rPr>
              <w:t>Textbook (if applicable):</w:t>
            </w:r>
          </w:p>
        </w:tc>
        <w:tc>
          <w:tcPr>
            <w:tcW w:w="6210" w:type="dxa"/>
          </w:tcPr>
          <w:p w:rsidR="00F44720" w:rsidRDefault="00F44720" w:rsidP="00527BB7">
            <w:pPr>
              <w:spacing w:after="0"/>
              <w:rPr>
                <w:b/>
              </w:rPr>
            </w:pPr>
          </w:p>
        </w:tc>
      </w:tr>
    </w:tbl>
    <w:p w:rsidR="00E61B3D" w:rsidRDefault="00E61B3D" w:rsidP="00E61B3D">
      <w:pPr>
        <w:spacing w:after="200"/>
        <w:jc w:val="center"/>
        <w:rPr>
          <w:b/>
        </w:rPr>
      </w:pPr>
    </w:p>
    <w:p w:rsidR="00E61B3D" w:rsidRPr="00980D3F" w:rsidRDefault="0016315F" w:rsidP="00E61B3D">
      <w:pPr>
        <w:spacing w:after="200"/>
        <w:jc w:val="center"/>
        <w:rPr>
          <w:b/>
        </w:rPr>
      </w:pPr>
      <w:r w:rsidRPr="005853C2">
        <w:rPr>
          <w:b/>
        </w:rPr>
        <w:t xml:space="preserve">Mathematical Reasoning </w:t>
      </w:r>
      <w:r>
        <w:rPr>
          <w:b/>
        </w:rPr>
        <w:t>&amp;</w:t>
      </w:r>
      <w:r w:rsidRPr="005853C2">
        <w:rPr>
          <w:b/>
        </w:rPr>
        <w:t xml:space="preserve"> Modeling</w:t>
      </w:r>
      <w:r>
        <w:rPr>
          <w:b/>
        </w:rPr>
        <w:t xml:space="preserve"> </w:t>
      </w:r>
      <w:r w:rsidR="00E61B3D">
        <w:rPr>
          <w:b/>
        </w:rPr>
        <w:t xml:space="preserve">Institutional Course </w:t>
      </w:r>
      <w:r w:rsidR="00E153BF">
        <w:rPr>
          <w:b/>
        </w:rPr>
        <w:t>Alignment</w:t>
      </w:r>
      <w:r w:rsidR="00E61B3D">
        <w:rPr>
          <w:b/>
        </w:rPr>
        <w:t xml:space="preserve"> Form</w:t>
      </w:r>
    </w:p>
    <w:p w:rsidR="00BF5BBF" w:rsidRPr="00E56437" w:rsidRDefault="00BF5BBF" w:rsidP="00BF5BBF">
      <w:pPr>
        <w:spacing w:after="200"/>
      </w:pPr>
      <w:r>
        <w:rPr>
          <w:b/>
        </w:rPr>
        <w:t>OVERVIEW:</w:t>
      </w:r>
      <w:r>
        <w:t xml:space="preserve">  The purpose of this form is to allow each institution to demonstrate that their math course aligns with the Missouri Math Pathways Initiative and can be included in the general education core curriculum – The Core 42 – as outlined in SB 997, meaning that this course is guaranteed to transfer across all public institutions.  </w:t>
      </w:r>
    </w:p>
    <w:p w:rsidR="00BF5BBF" w:rsidRDefault="00BF5BBF" w:rsidP="00BF5BBF">
      <w:pPr>
        <w:spacing w:after="200"/>
        <w:jc w:val="both"/>
      </w:pPr>
      <w:r w:rsidRPr="001864B7">
        <w:rPr>
          <w:b/>
        </w:rPr>
        <w:t xml:space="preserve">INSTRUCTIONS: </w:t>
      </w:r>
      <w:r>
        <w:rPr>
          <w:b/>
        </w:rPr>
        <w:t xml:space="preserve"> </w:t>
      </w:r>
      <w:r>
        <w:t>Please ensure that the institutional course syllabus meets the following Statewide Student Learning Outcomes (SLOs). If your course does not currently meet any of the SLOs below, please indicate in the space provided next to the Statewide SLO how you will work to meet the given SLO in the future.  If your course meets the SLO, either mark yes or leave the space blank.</w:t>
      </w:r>
      <w:r w:rsidRPr="00EC2516">
        <w:t xml:space="preserve"> </w:t>
      </w:r>
      <w:r w:rsidRPr="001864B7">
        <w:t>Please include a copy of the syllabus.</w:t>
      </w:r>
      <w:r>
        <w:t xml:space="preserve">  </w:t>
      </w:r>
    </w:p>
    <w:p w:rsidR="00BF5BBF" w:rsidRPr="000F3151" w:rsidRDefault="00BF5BBF" w:rsidP="00BF5BBF">
      <w:pPr>
        <w:spacing w:after="200"/>
        <w:jc w:val="both"/>
      </w:pPr>
      <w:r>
        <w:t>Once the institutional course has been reviewed and compared against the Statewide SLOs, please sign in the space indicated at the bottom of this cover page and return the completed document (and c</w:t>
      </w:r>
      <w:r w:rsidR="00A86417">
        <w:t>ourse syllabus) to David Hewkin</w:t>
      </w:r>
      <w:r>
        <w:t xml:space="preserve"> at the Missouri Department of Higher Education</w:t>
      </w:r>
      <w:r w:rsidR="000F3151">
        <w:t xml:space="preserve"> and Workforce Development</w:t>
      </w:r>
      <w:r>
        <w:t xml:space="preserve"> </w:t>
      </w:r>
      <w:r w:rsidR="00A86417">
        <w:t>(</w:t>
      </w:r>
      <w:hyperlink r:id="rId7" w:history="1">
        <w:r w:rsidR="00A86417" w:rsidRPr="00715E78">
          <w:rPr>
            <w:rStyle w:val="Hyperlink"/>
          </w:rPr>
          <w:t>david.hewkin@dhewd.mo.gov</w:t>
        </w:r>
      </w:hyperlink>
      <w:r w:rsidR="00A86417">
        <w:t xml:space="preserve">). </w:t>
      </w:r>
    </w:p>
    <w:p w:rsidR="00BF5BBF" w:rsidRDefault="00BF5BBF" w:rsidP="00BF5BBF">
      <w:pPr>
        <w:spacing w:after="200"/>
        <w:jc w:val="both"/>
      </w:pPr>
    </w:p>
    <w:p w:rsidR="00BF5BBF" w:rsidRDefault="00BF5BBF" w:rsidP="00BF5BBF">
      <w:pPr>
        <w:spacing w:after="200"/>
        <w:jc w:val="both"/>
      </w:pPr>
    </w:p>
    <w:p w:rsidR="00BF5BBF" w:rsidRDefault="00BF5BBF" w:rsidP="00BF5BBF">
      <w:pPr>
        <w:spacing w:after="200"/>
        <w:jc w:val="both"/>
      </w:pPr>
      <w:bookmarkStart w:id="0" w:name="_GoBack"/>
      <w:bookmarkEnd w:id="0"/>
    </w:p>
    <w:p w:rsidR="00BF5BBF" w:rsidRDefault="00BF5BBF" w:rsidP="00BF5BBF">
      <w:pPr>
        <w:spacing w:after="200"/>
        <w:jc w:val="both"/>
      </w:pPr>
    </w:p>
    <w:p w:rsidR="00BF5BBF" w:rsidRDefault="00BF5BBF" w:rsidP="00BF5BBF">
      <w:pPr>
        <w:spacing w:after="200"/>
        <w:jc w:val="both"/>
      </w:pPr>
    </w:p>
    <w:p w:rsidR="00BF5BBF" w:rsidRDefault="00BF5BBF" w:rsidP="00BF5BBF">
      <w:pPr>
        <w:spacing w:after="200"/>
        <w:jc w:val="both"/>
      </w:pPr>
    </w:p>
    <w:p w:rsidR="00BF5BBF" w:rsidRDefault="00BF5BBF" w:rsidP="00BF5BBF">
      <w:pPr>
        <w:spacing w:after="200"/>
        <w:jc w:val="both"/>
      </w:pPr>
    </w:p>
    <w:p w:rsidR="00BF5BBF" w:rsidRDefault="00BF5BBF" w:rsidP="00BF5BBF">
      <w:pPr>
        <w:spacing w:after="200"/>
        <w:jc w:val="both"/>
      </w:pPr>
    </w:p>
    <w:p w:rsidR="00BF5BBF" w:rsidRDefault="00BF5BBF" w:rsidP="00BF5BBF">
      <w:pPr>
        <w:spacing w:after="200"/>
        <w:jc w:val="both"/>
      </w:pPr>
    </w:p>
    <w:p w:rsidR="00BF5BBF" w:rsidRPr="00BF5BBF" w:rsidRDefault="00BF5BBF" w:rsidP="00BF5BBF">
      <w:pPr>
        <w:spacing w:after="200"/>
        <w:jc w:val="both"/>
      </w:pPr>
    </w:p>
    <w:tbl>
      <w:tblPr>
        <w:tblStyle w:val="TableGrid"/>
        <w:tblW w:w="0" w:type="auto"/>
        <w:tblInd w:w="198" w:type="dxa"/>
        <w:tblLook w:val="04A0" w:firstRow="1" w:lastRow="0" w:firstColumn="1" w:lastColumn="0" w:noHBand="0" w:noVBand="1"/>
      </w:tblPr>
      <w:tblGrid>
        <w:gridCol w:w="6930"/>
        <w:gridCol w:w="2250"/>
      </w:tblGrid>
      <w:tr w:rsidR="00BF5BBF" w:rsidRPr="001864B7" w:rsidTr="00A51454">
        <w:tc>
          <w:tcPr>
            <w:tcW w:w="9180" w:type="dxa"/>
            <w:gridSpan w:val="2"/>
            <w:vAlign w:val="center"/>
          </w:tcPr>
          <w:p w:rsidR="00BF5BBF" w:rsidRPr="001864B7" w:rsidRDefault="00BF5BBF" w:rsidP="00A51454">
            <w:r w:rsidRPr="001864B7">
              <w:t>Department Chair Name (print):</w:t>
            </w:r>
          </w:p>
        </w:tc>
      </w:tr>
      <w:tr w:rsidR="00BF5BBF" w:rsidRPr="001864B7" w:rsidTr="00A51454">
        <w:tc>
          <w:tcPr>
            <w:tcW w:w="6930" w:type="dxa"/>
            <w:vAlign w:val="center"/>
          </w:tcPr>
          <w:p w:rsidR="00BF5BBF" w:rsidRPr="001864B7" w:rsidRDefault="00BF5BBF" w:rsidP="00A51454">
            <w:r w:rsidRPr="001864B7">
              <w:t>Signature:</w:t>
            </w:r>
          </w:p>
        </w:tc>
        <w:tc>
          <w:tcPr>
            <w:tcW w:w="2250" w:type="dxa"/>
            <w:vAlign w:val="center"/>
          </w:tcPr>
          <w:p w:rsidR="00BF5BBF" w:rsidRPr="001864B7" w:rsidRDefault="00BF5BBF" w:rsidP="00A51454">
            <w:r w:rsidRPr="001864B7">
              <w:t>Date:</w:t>
            </w:r>
          </w:p>
        </w:tc>
      </w:tr>
    </w:tbl>
    <w:p w:rsidR="00BF5BBF" w:rsidRPr="00BF5BBF" w:rsidRDefault="00BF5BBF" w:rsidP="00E61B3D">
      <w:pPr>
        <w:spacing w:after="200" w:line="276" w:lineRule="auto"/>
        <w:jc w:val="center"/>
        <w:rPr>
          <w:b/>
        </w:rPr>
      </w:pPr>
      <w:r>
        <w:br w:type="page"/>
      </w:r>
      <w:r w:rsidRPr="005853C2">
        <w:rPr>
          <w:b/>
        </w:rPr>
        <w:lastRenderedPageBreak/>
        <w:t xml:space="preserve">Mathematical Reasoning </w:t>
      </w:r>
      <w:r>
        <w:rPr>
          <w:b/>
        </w:rPr>
        <w:t>&amp;</w:t>
      </w:r>
      <w:r w:rsidRPr="005853C2">
        <w:rPr>
          <w:b/>
        </w:rPr>
        <w:t xml:space="preserve"> Modeling</w:t>
      </w:r>
    </w:p>
    <w:p w:rsidR="005853C2" w:rsidRPr="005853C2" w:rsidRDefault="00290107" w:rsidP="00290107">
      <w:pPr>
        <w:spacing w:after="0"/>
        <w:jc w:val="both"/>
      </w:pPr>
      <w:r w:rsidRPr="00290107">
        <w:rPr>
          <w:b/>
        </w:rPr>
        <w:t>COURSE OVERVIEW:</w:t>
      </w:r>
      <w:r>
        <w:rPr>
          <w:i/>
        </w:rPr>
        <w:t xml:space="preserve"> </w:t>
      </w:r>
      <w:r w:rsidR="005853C2" w:rsidRPr="00290107">
        <w:rPr>
          <w:i/>
        </w:rPr>
        <w:t>Mathematical Reasoning and Modeling</w:t>
      </w:r>
      <w:r w:rsidR="005853C2" w:rsidRPr="005853C2">
        <w:t xml:space="preserve"> is a terminal course in mathematics for students in the humanities.  Given the variety of college and career paths falling within the humanities, this course may be customized to fit the student needs for a particular postsecondary institution.  The proposed student learning outcomes/objectives form a basic course framework that will be enhanced by including additional outcomes/objectives, as needed. </w:t>
      </w:r>
    </w:p>
    <w:p w:rsidR="005853C2" w:rsidRPr="005853C2" w:rsidRDefault="005853C2" w:rsidP="00290107">
      <w:pPr>
        <w:spacing w:after="0"/>
        <w:jc w:val="both"/>
      </w:pPr>
    </w:p>
    <w:p w:rsidR="005853C2" w:rsidRDefault="005853C2" w:rsidP="00290107">
      <w:pPr>
        <w:spacing w:after="0"/>
        <w:jc w:val="both"/>
      </w:pPr>
      <w:r w:rsidRPr="005853C2">
        <w:t>The purpose of this course is to provide a comprehensive overview of the skills required to navigate the mathematical demands of modern life and prepare students for a deeper understanding of information presented in mathematical terms.  Emphasis is placed on improving students’ ability to draw conclusions, make decisions, and communicate effectively in mathematical situations that depend upon multiple factors.  To that end, students will develop critical thinking and problem solving skills through the following student learning outcomes.</w:t>
      </w:r>
    </w:p>
    <w:p w:rsidR="00BF5BBF" w:rsidRDefault="00BF5BBF" w:rsidP="00290107">
      <w:pPr>
        <w:spacing w:after="0"/>
        <w:jc w:val="both"/>
      </w:pPr>
    </w:p>
    <w:p w:rsidR="00BF5BBF" w:rsidRPr="005853C2" w:rsidRDefault="00BF5BBF" w:rsidP="00BF5BBF">
      <w:pPr>
        <w:jc w:val="both"/>
      </w:pPr>
      <w:r>
        <w:t xml:space="preserve">If your course </w:t>
      </w:r>
      <w:r w:rsidRPr="000C24B5">
        <w:rPr>
          <w:b/>
        </w:rPr>
        <w:t>does not currently meet any of the SLOs below</w:t>
      </w:r>
      <w:r>
        <w:t xml:space="preserve">, please indicate in the space provided how you will work to meet the given SLO in the future.  If your course </w:t>
      </w:r>
      <w:r w:rsidRPr="000C24B5">
        <w:rPr>
          <w:b/>
        </w:rPr>
        <w:t>meets the SLO</w:t>
      </w:r>
      <w:r>
        <w:t xml:space="preserve">, </w:t>
      </w:r>
      <w:r w:rsidR="00C63C5E">
        <w:t>please indicate in the space provided where in the syllabus the SLO is met</w:t>
      </w:r>
      <w:r>
        <w:t>.</w:t>
      </w:r>
    </w:p>
    <w:p w:rsidR="005853C2" w:rsidRDefault="005853C2" w:rsidP="005853C2">
      <w:pPr>
        <w:spacing w:after="0"/>
        <w:jc w:val="both"/>
      </w:pPr>
    </w:p>
    <w:p w:rsidR="005853C2" w:rsidRPr="005853C2" w:rsidRDefault="005853C2" w:rsidP="005853C2">
      <w:pPr>
        <w:pStyle w:val="ListParagraph"/>
        <w:numPr>
          <w:ilvl w:val="0"/>
          <w:numId w:val="1"/>
        </w:numPr>
        <w:spacing w:after="0" w:line="240" w:lineRule="auto"/>
        <w:ind w:left="360" w:hanging="360"/>
      </w:pPr>
      <w:r w:rsidRPr="005853C2">
        <w:rPr>
          <w:b/>
        </w:rPr>
        <w:t>Proportional Reasoning</w:t>
      </w:r>
    </w:p>
    <w:p w:rsidR="005853C2" w:rsidRPr="005853C2" w:rsidRDefault="005853C2" w:rsidP="005853C2">
      <w:pPr>
        <w:spacing w:after="0" w:line="240" w:lineRule="auto"/>
      </w:pPr>
      <w:r w:rsidRPr="005853C2">
        <w:t>Students will draw conclusions or make decisions using proportional reasoning.  Specifically, students will be able to:</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tblGrid>
      <w:tr w:rsidR="005853C2" w:rsidRPr="005853C2" w:rsidTr="00527BB7">
        <w:tc>
          <w:tcPr>
            <w:tcW w:w="4590" w:type="dxa"/>
            <w:tcBorders>
              <w:top w:val="single" w:sz="4" w:space="0" w:color="auto"/>
              <w:left w:val="single" w:sz="4" w:space="0" w:color="auto"/>
              <w:bottom w:val="single" w:sz="4" w:space="0" w:color="auto"/>
              <w:right w:val="single" w:sz="4" w:space="0" w:color="auto"/>
            </w:tcBorders>
            <w:vAlign w:val="bottom"/>
          </w:tcPr>
          <w:p w:rsidR="005853C2" w:rsidRPr="005853C2" w:rsidRDefault="005853C2" w:rsidP="00527BB7">
            <w:pPr>
              <w:spacing w:after="0"/>
              <w:jc w:val="center"/>
              <w:rPr>
                <w:b/>
              </w:rPr>
            </w:pPr>
            <w:r w:rsidRPr="005853C2">
              <w:rPr>
                <w:b/>
              </w:rPr>
              <w:t>Statewide SLOs</w:t>
            </w:r>
          </w:p>
        </w:tc>
        <w:tc>
          <w:tcPr>
            <w:tcW w:w="4590" w:type="dxa"/>
            <w:tcBorders>
              <w:top w:val="single" w:sz="4" w:space="0" w:color="auto"/>
              <w:left w:val="single" w:sz="4" w:space="0" w:color="auto"/>
              <w:bottom w:val="single" w:sz="4" w:space="0" w:color="auto"/>
              <w:right w:val="single" w:sz="4" w:space="0" w:color="auto"/>
            </w:tcBorders>
            <w:vAlign w:val="bottom"/>
          </w:tcPr>
          <w:p w:rsidR="005853C2" w:rsidRPr="005853C2" w:rsidRDefault="005853C2" w:rsidP="003B269F">
            <w:pPr>
              <w:spacing w:after="0"/>
              <w:jc w:val="center"/>
              <w:rPr>
                <w:b/>
              </w:rPr>
            </w:pPr>
            <w:r w:rsidRPr="005853C2">
              <w:rPr>
                <w:b/>
              </w:rPr>
              <w:t xml:space="preserve">Institutional </w:t>
            </w:r>
            <w:r w:rsidR="003B269F">
              <w:rPr>
                <w:b/>
              </w:rPr>
              <w:t>Student Learning Outcome</w:t>
            </w:r>
          </w:p>
        </w:tc>
      </w:tr>
      <w:tr w:rsidR="005853C2" w:rsidRPr="005853C2" w:rsidTr="00527BB7">
        <w:tc>
          <w:tcPr>
            <w:tcW w:w="4590" w:type="dxa"/>
            <w:tcBorders>
              <w:top w:val="single" w:sz="4" w:space="0" w:color="auto"/>
              <w:bottom w:val="single" w:sz="4" w:space="0" w:color="auto"/>
              <w:right w:val="single" w:sz="4" w:space="0" w:color="auto"/>
            </w:tcBorders>
            <w:vAlign w:val="center"/>
          </w:tcPr>
          <w:p w:rsidR="005853C2" w:rsidRPr="005853C2" w:rsidRDefault="005853C2" w:rsidP="005853C2">
            <w:pPr>
              <w:spacing w:after="0" w:line="240" w:lineRule="auto"/>
            </w:pPr>
            <w:r w:rsidRPr="00BF5BBF">
              <w:rPr>
                <w:i/>
              </w:rPr>
              <w:t>I.A Use ratios, proportions, rates, and percentages to explain, draw conclusions, or make decisions</w:t>
            </w:r>
            <w:r w:rsidRPr="005853C2">
              <w:rPr>
                <w:i/>
              </w:rPr>
              <w:t>.</w:t>
            </w:r>
          </w:p>
        </w:tc>
        <w:tc>
          <w:tcPr>
            <w:tcW w:w="4590" w:type="dxa"/>
            <w:tcBorders>
              <w:top w:val="single" w:sz="4" w:space="0" w:color="auto"/>
              <w:left w:val="single" w:sz="4" w:space="0" w:color="auto"/>
              <w:bottom w:val="single" w:sz="4" w:space="0" w:color="auto"/>
            </w:tcBorders>
            <w:vAlign w:val="center"/>
          </w:tcPr>
          <w:p w:rsidR="005853C2" w:rsidRPr="005853C2" w:rsidRDefault="005853C2" w:rsidP="00527BB7"/>
        </w:tc>
      </w:tr>
      <w:tr w:rsidR="005853C2" w:rsidRPr="005853C2" w:rsidTr="00527BB7">
        <w:tc>
          <w:tcPr>
            <w:tcW w:w="4590" w:type="dxa"/>
            <w:tcBorders>
              <w:top w:val="single" w:sz="4" w:space="0" w:color="auto"/>
              <w:bottom w:val="single" w:sz="4" w:space="0" w:color="auto"/>
              <w:right w:val="single" w:sz="4" w:space="0" w:color="auto"/>
            </w:tcBorders>
            <w:vAlign w:val="center"/>
          </w:tcPr>
          <w:p w:rsidR="005853C2" w:rsidRPr="00BF5BBF" w:rsidRDefault="005853C2" w:rsidP="005853C2">
            <w:pPr>
              <w:spacing w:after="0" w:line="240" w:lineRule="auto"/>
              <w:rPr>
                <w:i/>
              </w:rPr>
            </w:pPr>
            <w:r w:rsidRPr="00BF5BBF">
              <w:rPr>
                <w:i/>
              </w:rPr>
              <w:t>I.B</w:t>
            </w:r>
            <w:r w:rsidRPr="005853C2">
              <w:rPr>
                <w:i/>
              </w:rPr>
              <w:t xml:space="preserve"> Use units and unit conversions to explain, draw conclusions, or make decisions.</w:t>
            </w:r>
          </w:p>
        </w:tc>
        <w:tc>
          <w:tcPr>
            <w:tcW w:w="4590" w:type="dxa"/>
            <w:tcBorders>
              <w:top w:val="single" w:sz="4" w:space="0" w:color="auto"/>
              <w:left w:val="single" w:sz="4" w:space="0" w:color="auto"/>
              <w:bottom w:val="single" w:sz="4" w:space="0" w:color="auto"/>
            </w:tcBorders>
            <w:vAlign w:val="center"/>
          </w:tcPr>
          <w:p w:rsidR="005853C2" w:rsidRPr="005853C2" w:rsidRDefault="005853C2" w:rsidP="00527BB7"/>
        </w:tc>
      </w:tr>
    </w:tbl>
    <w:p w:rsidR="005853C2" w:rsidRPr="005853C2" w:rsidRDefault="005853C2" w:rsidP="005853C2">
      <w:pPr>
        <w:spacing w:after="0" w:line="240" w:lineRule="auto"/>
      </w:pPr>
      <w:r w:rsidRPr="005853C2">
        <w:t>Possible content topics:  Ratios, proportions, rates, percentages, units, conversions, absolute and relative change, geometric proportions, etc.</w:t>
      </w:r>
    </w:p>
    <w:p w:rsidR="005853C2" w:rsidRPr="005853C2" w:rsidRDefault="005853C2"/>
    <w:p w:rsidR="005853C2" w:rsidRPr="005853C2" w:rsidRDefault="005853C2" w:rsidP="005853C2">
      <w:pPr>
        <w:pStyle w:val="ListParagraph"/>
        <w:numPr>
          <w:ilvl w:val="0"/>
          <w:numId w:val="1"/>
        </w:numPr>
        <w:spacing w:after="0" w:line="240" w:lineRule="auto"/>
        <w:ind w:left="360" w:hanging="360"/>
      </w:pPr>
      <w:r w:rsidRPr="005853C2">
        <w:rPr>
          <w:b/>
        </w:rPr>
        <w:t>Statistical Reasoning</w:t>
      </w:r>
    </w:p>
    <w:p w:rsidR="005853C2" w:rsidRPr="005853C2" w:rsidRDefault="005853C2" w:rsidP="005853C2">
      <w:pPr>
        <w:spacing w:after="0" w:line="240" w:lineRule="auto"/>
      </w:pPr>
      <w:r w:rsidRPr="005853C2">
        <w:t>Students will read, interpret, analyze, and synthesize quantitative data (e.g., graphs, tables, statistics, survey data, etc.) and make reasoned estimates and inferences.  Specifically, students will be able to:</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tblGrid>
      <w:tr w:rsidR="005853C2" w:rsidRPr="005853C2" w:rsidTr="00527BB7">
        <w:tc>
          <w:tcPr>
            <w:tcW w:w="4590" w:type="dxa"/>
            <w:tcBorders>
              <w:top w:val="single" w:sz="4" w:space="0" w:color="auto"/>
              <w:left w:val="single" w:sz="4" w:space="0" w:color="auto"/>
              <w:bottom w:val="single" w:sz="4" w:space="0" w:color="auto"/>
              <w:right w:val="single" w:sz="4" w:space="0" w:color="auto"/>
            </w:tcBorders>
            <w:vAlign w:val="bottom"/>
          </w:tcPr>
          <w:p w:rsidR="005853C2" w:rsidRPr="005853C2" w:rsidRDefault="005853C2" w:rsidP="00527BB7">
            <w:pPr>
              <w:spacing w:after="0"/>
              <w:jc w:val="center"/>
              <w:rPr>
                <w:b/>
              </w:rPr>
            </w:pPr>
            <w:r w:rsidRPr="005853C2">
              <w:rPr>
                <w:b/>
              </w:rPr>
              <w:t>Statewide SLOs</w:t>
            </w:r>
          </w:p>
        </w:tc>
        <w:tc>
          <w:tcPr>
            <w:tcW w:w="4590" w:type="dxa"/>
            <w:tcBorders>
              <w:top w:val="single" w:sz="4" w:space="0" w:color="auto"/>
              <w:left w:val="single" w:sz="4" w:space="0" w:color="auto"/>
              <w:bottom w:val="single" w:sz="4" w:space="0" w:color="auto"/>
              <w:right w:val="single" w:sz="4" w:space="0" w:color="auto"/>
            </w:tcBorders>
            <w:vAlign w:val="bottom"/>
          </w:tcPr>
          <w:p w:rsidR="005853C2" w:rsidRPr="005853C2" w:rsidRDefault="005853C2" w:rsidP="00527BB7">
            <w:pPr>
              <w:spacing w:after="0"/>
              <w:jc w:val="center"/>
              <w:rPr>
                <w:b/>
              </w:rPr>
            </w:pPr>
            <w:r w:rsidRPr="005853C2">
              <w:rPr>
                <w:b/>
              </w:rPr>
              <w:t>Institutional Course Alignment</w:t>
            </w:r>
          </w:p>
        </w:tc>
      </w:tr>
      <w:tr w:rsidR="005853C2" w:rsidRPr="005853C2" w:rsidTr="00527BB7">
        <w:tc>
          <w:tcPr>
            <w:tcW w:w="4590" w:type="dxa"/>
            <w:tcBorders>
              <w:top w:val="single" w:sz="4" w:space="0" w:color="auto"/>
              <w:bottom w:val="single" w:sz="4" w:space="0" w:color="auto"/>
              <w:right w:val="single" w:sz="4" w:space="0" w:color="auto"/>
            </w:tcBorders>
            <w:vAlign w:val="center"/>
          </w:tcPr>
          <w:p w:rsidR="005853C2" w:rsidRPr="00BF5BBF" w:rsidRDefault="005853C2" w:rsidP="005853C2">
            <w:pPr>
              <w:spacing w:after="0" w:line="240" w:lineRule="auto"/>
              <w:rPr>
                <w:i/>
              </w:rPr>
            </w:pPr>
            <w:r w:rsidRPr="00BF5BBF">
              <w:rPr>
                <w:i/>
              </w:rPr>
              <w:t>II.A</w:t>
            </w:r>
            <w:r w:rsidRPr="005853C2">
              <w:rPr>
                <w:i/>
              </w:rPr>
              <w:t xml:space="preserve"> Collect and organize data in graphs and tables.</w:t>
            </w:r>
          </w:p>
        </w:tc>
        <w:tc>
          <w:tcPr>
            <w:tcW w:w="4590" w:type="dxa"/>
            <w:tcBorders>
              <w:top w:val="single" w:sz="4" w:space="0" w:color="auto"/>
              <w:left w:val="single" w:sz="4" w:space="0" w:color="auto"/>
              <w:bottom w:val="single" w:sz="4" w:space="0" w:color="auto"/>
            </w:tcBorders>
            <w:vAlign w:val="center"/>
          </w:tcPr>
          <w:p w:rsidR="005853C2" w:rsidRPr="005853C2" w:rsidRDefault="005853C2" w:rsidP="00527BB7"/>
        </w:tc>
      </w:tr>
      <w:tr w:rsidR="005853C2" w:rsidRPr="005853C2" w:rsidTr="00527BB7">
        <w:tc>
          <w:tcPr>
            <w:tcW w:w="4590" w:type="dxa"/>
            <w:tcBorders>
              <w:top w:val="single" w:sz="4" w:space="0" w:color="auto"/>
              <w:bottom w:val="single" w:sz="4" w:space="0" w:color="auto"/>
              <w:right w:val="single" w:sz="4" w:space="0" w:color="auto"/>
            </w:tcBorders>
            <w:vAlign w:val="center"/>
          </w:tcPr>
          <w:p w:rsidR="005853C2" w:rsidRPr="00BF5BBF" w:rsidRDefault="005853C2" w:rsidP="005853C2">
            <w:pPr>
              <w:spacing w:after="0" w:line="240" w:lineRule="auto"/>
              <w:rPr>
                <w:i/>
              </w:rPr>
            </w:pPr>
            <w:r w:rsidRPr="00BF5BBF">
              <w:rPr>
                <w:i/>
              </w:rPr>
              <w:t>II.B</w:t>
            </w:r>
            <w:r w:rsidRPr="005853C2">
              <w:rPr>
                <w:i/>
              </w:rPr>
              <w:t xml:space="preserve"> Use descriptive statistics to interpret and analyze quantitative data.</w:t>
            </w:r>
          </w:p>
        </w:tc>
        <w:tc>
          <w:tcPr>
            <w:tcW w:w="4590" w:type="dxa"/>
            <w:tcBorders>
              <w:top w:val="single" w:sz="4" w:space="0" w:color="auto"/>
              <w:left w:val="single" w:sz="4" w:space="0" w:color="auto"/>
              <w:bottom w:val="single" w:sz="4" w:space="0" w:color="auto"/>
            </w:tcBorders>
            <w:vAlign w:val="center"/>
          </w:tcPr>
          <w:p w:rsidR="005853C2" w:rsidRPr="005853C2" w:rsidRDefault="005853C2" w:rsidP="00527BB7"/>
        </w:tc>
      </w:tr>
      <w:tr w:rsidR="005853C2" w:rsidRPr="005853C2" w:rsidTr="00527BB7">
        <w:tc>
          <w:tcPr>
            <w:tcW w:w="4590" w:type="dxa"/>
            <w:tcBorders>
              <w:top w:val="single" w:sz="4" w:space="0" w:color="auto"/>
              <w:bottom w:val="single" w:sz="4" w:space="0" w:color="auto"/>
              <w:right w:val="single" w:sz="4" w:space="0" w:color="auto"/>
            </w:tcBorders>
            <w:vAlign w:val="center"/>
          </w:tcPr>
          <w:p w:rsidR="005853C2" w:rsidRPr="00BF5BBF" w:rsidRDefault="005853C2" w:rsidP="005853C2">
            <w:pPr>
              <w:spacing w:after="0" w:line="240" w:lineRule="auto"/>
              <w:rPr>
                <w:i/>
              </w:rPr>
            </w:pPr>
            <w:r w:rsidRPr="00BF5BBF">
              <w:rPr>
                <w:i/>
              </w:rPr>
              <w:t>II.C</w:t>
            </w:r>
            <w:r w:rsidRPr="005853C2">
              <w:rPr>
                <w:i/>
              </w:rPr>
              <w:t xml:space="preserve"> Use probability to interpret and analyze quantitative data.</w:t>
            </w:r>
          </w:p>
        </w:tc>
        <w:tc>
          <w:tcPr>
            <w:tcW w:w="4590" w:type="dxa"/>
            <w:tcBorders>
              <w:top w:val="single" w:sz="4" w:space="0" w:color="auto"/>
              <w:left w:val="single" w:sz="4" w:space="0" w:color="auto"/>
              <w:bottom w:val="single" w:sz="4" w:space="0" w:color="auto"/>
            </w:tcBorders>
            <w:vAlign w:val="center"/>
          </w:tcPr>
          <w:p w:rsidR="005853C2" w:rsidRPr="005853C2" w:rsidRDefault="005853C2" w:rsidP="00527BB7"/>
        </w:tc>
      </w:tr>
      <w:tr w:rsidR="005853C2" w:rsidRPr="005853C2" w:rsidTr="00527BB7">
        <w:tc>
          <w:tcPr>
            <w:tcW w:w="4590" w:type="dxa"/>
            <w:tcBorders>
              <w:top w:val="single" w:sz="4" w:space="0" w:color="auto"/>
              <w:bottom w:val="single" w:sz="4" w:space="0" w:color="auto"/>
              <w:right w:val="single" w:sz="4" w:space="0" w:color="auto"/>
            </w:tcBorders>
            <w:vAlign w:val="center"/>
          </w:tcPr>
          <w:p w:rsidR="005853C2" w:rsidRPr="00BF5BBF" w:rsidRDefault="005853C2" w:rsidP="005853C2">
            <w:pPr>
              <w:spacing w:after="0" w:line="240" w:lineRule="auto"/>
              <w:rPr>
                <w:i/>
              </w:rPr>
            </w:pPr>
            <w:r w:rsidRPr="00BF5BBF">
              <w:rPr>
                <w:i/>
              </w:rPr>
              <w:t>II.D</w:t>
            </w:r>
            <w:r w:rsidRPr="005853C2">
              <w:rPr>
                <w:i/>
              </w:rPr>
              <w:t xml:space="preserve"> Communicate statistical findings effectively. </w:t>
            </w:r>
          </w:p>
        </w:tc>
        <w:tc>
          <w:tcPr>
            <w:tcW w:w="4590" w:type="dxa"/>
            <w:tcBorders>
              <w:top w:val="single" w:sz="4" w:space="0" w:color="auto"/>
              <w:left w:val="single" w:sz="4" w:space="0" w:color="auto"/>
              <w:bottom w:val="single" w:sz="4" w:space="0" w:color="auto"/>
            </w:tcBorders>
            <w:vAlign w:val="center"/>
          </w:tcPr>
          <w:p w:rsidR="005853C2" w:rsidRPr="005853C2" w:rsidRDefault="005853C2" w:rsidP="00527BB7"/>
        </w:tc>
      </w:tr>
    </w:tbl>
    <w:p w:rsidR="005853C2" w:rsidRPr="005853C2" w:rsidRDefault="005853C2" w:rsidP="005853C2">
      <w:pPr>
        <w:spacing w:after="0" w:line="240" w:lineRule="auto"/>
      </w:pPr>
      <w:r w:rsidRPr="005853C2">
        <w:t>Possible content topics:  Probability, descriptive statistics, visual displays of quantitative information, correlation and causation, etc.</w:t>
      </w:r>
    </w:p>
    <w:p w:rsidR="005853C2" w:rsidRDefault="005853C2"/>
    <w:p w:rsidR="005853C2" w:rsidRPr="005853C2" w:rsidRDefault="005853C2" w:rsidP="005853C2">
      <w:pPr>
        <w:pStyle w:val="ListParagraph"/>
        <w:numPr>
          <w:ilvl w:val="0"/>
          <w:numId w:val="1"/>
        </w:numPr>
        <w:spacing w:after="0" w:line="240" w:lineRule="auto"/>
        <w:ind w:left="360" w:hanging="360"/>
      </w:pPr>
      <w:r w:rsidRPr="005853C2">
        <w:rPr>
          <w:b/>
        </w:rPr>
        <w:t>Mathematical Modeling</w:t>
      </w:r>
    </w:p>
    <w:p w:rsidR="005853C2" w:rsidRPr="005853C2" w:rsidRDefault="005853C2" w:rsidP="005853C2">
      <w:pPr>
        <w:spacing w:after="0" w:line="240" w:lineRule="auto"/>
      </w:pPr>
      <w:r w:rsidRPr="005853C2">
        <w:t>Students will create, apply and use mathematical models to solve problems.  Specifically, students will be able to:</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tblGrid>
      <w:tr w:rsidR="005853C2" w:rsidRPr="005853C2" w:rsidTr="00527BB7">
        <w:tc>
          <w:tcPr>
            <w:tcW w:w="4590" w:type="dxa"/>
            <w:tcBorders>
              <w:top w:val="single" w:sz="4" w:space="0" w:color="auto"/>
              <w:left w:val="single" w:sz="4" w:space="0" w:color="auto"/>
              <w:bottom w:val="single" w:sz="4" w:space="0" w:color="auto"/>
              <w:right w:val="single" w:sz="4" w:space="0" w:color="auto"/>
            </w:tcBorders>
            <w:vAlign w:val="bottom"/>
          </w:tcPr>
          <w:p w:rsidR="005853C2" w:rsidRPr="005853C2" w:rsidRDefault="005853C2" w:rsidP="00527BB7">
            <w:pPr>
              <w:spacing w:after="0"/>
              <w:jc w:val="center"/>
              <w:rPr>
                <w:b/>
              </w:rPr>
            </w:pPr>
            <w:r w:rsidRPr="005853C2">
              <w:rPr>
                <w:b/>
              </w:rPr>
              <w:t>Statewide SLOs</w:t>
            </w:r>
          </w:p>
        </w:tc>
        <w:tc>
          <w:tcPr>
            <w:tcW w:w="4590" w:type="dxa"/>
            <w:tcBorders>
              <w:top w:val="single" w:sz="4" w:space="0" w:color="auto"/>
              <w:left w:val="single" w:sz="4" w:space="0" w:color="auto"/>
              <w:bottom w:val="single" w:sz="4" w:space="0" w:color="auto"/>
              <w:right w:val="single" w:sz="4" w:space="0" w:color="auto"/>
            </w:tcBorders>
            <w:vAlign w:val="bottom"/>
          </w:tcPr>
          <w:p w:rsidR="005853C2" w:rsidRPr="005853C2" w:rsidRDefault="005853C2" w:rsidP="00527BB7">
            <w:pPr>
              <w:spacing w:after="0"/>
              <w:jc w:val="center"/>
              <w:rPr>
                <w:b/>
              </w:rPr>
            </w:pPr>
            <w:r w:rsidRPr="005853C2">
              <w:rPr>
                <w:b/>
              </w:rPr>
              <w:t>Institutional Course Alignment</w:t>
            </w:r>
          </w:p>
        </w:tc>
      </w:tr>
      <w:tr w:rsidR="005853C2" w:rsidRPr="005853C2" w:rsidTr="00527BB7">
        <w:tc>
          <w:tcPr>
            <w:tcW w:w="4590" w:type="dxa"/>
            <w:tcBorders>
              <w:top w:val="single" w:sz="4" w:space="0" w:color="auto"/>
              <w:bottom w:val="single" w:sz="4" w:space="0" w:color="auto"/>
              <w:right w:val="single" w:sz="4" w:space="0" w:color="auto"/>
            </w:tcBorders>
            <w:vAlign w:val="center"/>
          </w:tcPr>
          <w:p w:rsidR="005853C2" w:rsidRPr="00BF5BBF" w:rsidRDefault="005853C2" w:rsidP="005853C2">
            <w:pPr>
              <w:spacing w:after="0" w:line="240" w:lineRule="auto"/>
              <w:rPr>
                <w:i/>
              </w:rPr>
            </w:pPr>
            <w:r w:rsidRPr="00BF5BBF">
              <w:rPr>
                <w:i/>
              </w:rPr>
              <w:t>III.A</w:t>
            </w:r>
            <w:r w:rsidRPr="005853C2">
              <w:rPr>
                <w:i/>
              </w:rPr>
              <w:t xml:space="preserve"> Describe and contrast linear rate and non-linear rate through verbalization and writing</w:t>
            </w:r>
          </w:p>
        </w:tc>
        <w:tc>
          <w:tcPr>
            <w:tcW w:w="4590" w:type="dxa"/>
            <w:tcBorders>
              <w:top w:val="single" w:sz="4" w:space="0" w:color="auto"/>
              <w:left w:val="single" w:sz="4" w:space="0" w:color="auto"/>
              <w:bottom w:val="single" w:sz="4" w:space="0" w:color="auto"/>
            </w:tcBorders>
            <w:vAlign w:val="center"/>
          </w:tcPr>
          <w:p w:rsidR="005853C2" w:rsidRPr="005853C2" w:rsidRDefault="005853C2" w:rsidP="00527BB7"/>
        </w:tc>
      </w:tr>
      <w:tr w:rsidR="005853C2" w:rsidRPr="005853C2" w:rsidTr="00527BB7">
        <w:tc>
          <w:tcPr>
            <w:tcW w:w="4590" w:type="dxa"/>
            <w:tcBorders>
              <w:top w:val="single" w:sz="4" w:space="0" w:color="auto"/>
              <w:bottom w:val="single" w:sz="4" w:space="0" w:color="auto"/>
              <w:right w:val="single" w:sz="4" w:space="0" w:color="auto"/>
            </w:tcBorders>
            <w:vAlign w:val="center"/>
          </w:tcPr>
          <w:p w:rsidR="005853C2" w:rsidRPr="00BF5BBF" w:rsidRDefault="005853C2" w:rsidP="005853C2">
            <w:pPr>
              <w:spacing w:after="0" w:line="240" w:lineRule="auto"/>
              <w:rPr>
                <w:i/>
              </w:rPr>
            </w:pPr>
            <w:r w:rsidRPr="00BF5BBF">
              <w:rPr>
                <w:i/>
              </w:rPr>
              <w:t>III.B</w:t>
            </w:r>
            <w:r w:rsidRPr="005853C2">
              <w:rPr>
                <w:i/>
              </w:rPr>
              <w:t xml:space="preserve"> Create linear and non-linear functions from quantitative data and explain the results.</w:t>
            </w:r>
          </w:p>
        </w:tc>
        <w:tc>
          <w:tcPr>
            <w:tcW w:w="4590" w:type="dxa"/>
            <w:tcBorders>
              <w:top w:val="single" w:sz="4" w:space="0" w:color="auto"/>
              <w:left w:val="single" w:sz="4" w:space="0" w:color="auto"/>
              <w:bottom w:val="single" w:sz="4" w:space="0" w:color="auto"/>
            </w:tcBorders>
            <w:vAlign w:val="center"/>
          </w:tcPr>
          <w:p w:rsidR="005853C2" w:rsidRPr="005853C2" w:rsidRDefault="005853C2" w:rsidP="00527BB7"/>
        </w:tc>
      </w:tr>
      <w:tr w:rsidR="005853C2" w:rsidRPr="005853C2" w:rsidTr="00527BB7">
        <w:tc>
          <w:tcPr>
            <w:tcW w:w="4590" w:type="dxa"/>
            <w:tcBorders>
              <w:top w:val="single" w:sz="4" w:space="0" w:color="auto"/>
              <w:bottom w:val="single" w:sz="4" w:space="0" w:color="auto"/>
              <w:right w:val="single" w:sz="4" w:space="0" w:color="auto"/>
            </w:tcBorders>
            <w:vAlign w:val="center"/>
          </w:tcPr>
          <w:p w:rsidR="005853C2" w:rsidRPr="00BF5BBF" w:rsidRDefault="005853C2" w:rsidP="005853C2">
            <w:pPr>
              <w:spacing w:after="0" w:line="240" w:lineRule="auto"/>
              <w:rPr>
                <w:i/>
              </w:rPr>
            </w:pPr>
            <w:r w:rsidRPr="00BF5BBF">
              <w:rPr>
                <w:i/>
              </w:rPr>
              <w:t>III.C</w:t>
            </w:r>
            <w:r w:rsidRPr="005853C2">
              <w:rPr>
                <w:i/>
              </w:rPr>
              <w:t xml:space="preserve"> Interpret and analyze linear and non-linear functions that model data.</w:t>
            </w:r>
          </w:p>
        </w:tc>
        <w:tc>
          <w:tcPr>
            <w:tcW w:w="4590" w:type="dxa"/>
            <w:tcBorders>
              <w:top w:val="single" w:sz="4" w:space="0" w:color="auto"/>
              <w:left w:val="single" w:sz="4" w:space="0" w:color="auto"/>
              <w:bottom w:val="single" w:sz="4" w:space="0" w:color="auto"/>
            </w:tcBorders>
            <w:vAlign w:val="center"/>
          </w:tcPr>
          <w:p w:rsidR="005853C2" w:rsidRPr="005853C2" w:rsidRDefault="005853C2" w:rsidP="00527BB7"/>
        </w:tc>
      </w:tr>
    </w:tbl>
    <w:p w:rsidR="005853C2" w:rsidRPr="005853C2" w:rsidRDefault="005853C2" w:rsidP="005853C2">
      <w:pPr>
        <w:spacing w:after="0" w:line="240" w:lineRule="auto"/>
      </w:pPr>
      <w:r w:rsidRPr="005853C2">
        <w:t>Possible content topics:  Linear functions, exponential functions, scatterplots and best fit lines, financial math, etc.</w:t>
      </w:r>
    </w:p>
    <w:p w:rsidR="005853C2" w:rsidRPr="005853C2" w:rsidRDefault="005853C2" w:rsidP="005853C2">
      <w:pPr>
        <w:spacing w:after="0" w:line="240" w:lineRule="auto"/>
      </w:pPr>
    </w:p>
    <w:p w:rsidR="005853C2" w:rsidRPr="005853C2" w:rsidRDefault="005853C2" w:rsidP="005853C2">
      <w:pPr>
        <w:spacing w:after="0" w:line="240" w:lineRule="auto"/>
        <w:rPr>
          <w:b/>
        </w:rPr>
      </w:pPr>
      <w:r w:rsidRPr="005853C2">
        <w:rPr>
          <w:b/>
        </w:rPr>
        <w:t>IV. Additional Topics as Determined by Individual Institutions</w:t>
      </w:r>
    </w:p>
    <w:p w:rsidR="005853C2" w:rsidRDefault="005853C2"/>
    <w:p w:rsidR="00D92257" w:rsidRDefault="00D92257"/>
    <w:p w:rsidR="00D92257" w:rsidRDefault="00D92257" w:rsidP="00D92257">
      <w:r>
        <w:t>Comments:</w:t>
      </w:r>
    </w:p>
    <w:p w:rsidR="00D92257" w:rsidRDefault="00D92257" w:rsidP="00D92257"/>
    <w:p w:rsidR="00D92257" w:rsidRDefault="00D92257" w:rsidP="00D92257"/>
    <w:p w:rsidR="00D92257" w:rsidRDefault="00D92257" w:rsidP="00D92257">
      <w:r>
        <w:t xml:space="preserve"> </w:t>
      </w:r>
    </w:p>
    <w:p w:rsidR="00D92257" w:rsidRDefault="00D92257" w:rsidP="00D92257"/>
    <w:p w:rsidR="00D92257" w:rsidRPr="005853C2" w:rsidRDefault="00D92257"/>
    <w:sectPr w:rsidR="00D92257" w:rsidRPr="005853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720" w:rsidRDefault="00F44720" w:rsidP="00F44720">
      <w:pPr>
        <w:spacing w:after="0" w:line="240" w:lineRule="auto"/>
      </w:pPr>
      <w:r>
        <w:separator/>
      </w:r>
    </w:p>
  </w:endnote>
  <w:endnote w:type="continuationSeparator" w:id="0">
    <w:p w:rsidR="00F44720" w:rsidRDefault="00F44720" w:rsidP="00F4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377514"/>
      <w:docPartObj>
        <w:docPartGallery w:val="Page Numbers (Bottom of Page)"/>
        <w:docPartUnique/>
      </w:docPartObj>
    </w:sdtPr>
    <w:sdtEndPr/>
    <w:sdtContent>
      <w:sdt>
        <w:sdtPr>
          <w:id w:val="-1669238322"/>
          <w:docPartObj>
            <w:docPartGallery w:val="Page Numbers (Top of Page)"/>
            <w:docPartUnique/>
          </w:docPartObj>
        </w:sdtPr>
        <w:sdtEndPr/>
        <w:sdtContent>
          <w:p w:rsidR="00BF5BBF" w:rsidRDefault="00BF5B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641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6417">
              <w:rPr>
                <w:b/>
                <w:bCs/>
                <w:noProof/>
              </w:rPr>
              <w:t>3</w:t>
            </w:r>
            <w:r>
              <w:rPr>
                <w:b/>
                <w:bCs/>
                <w:sz w:val="24"/>
                <w:szCs w:val="24"/>
              </w:rPr>
              <w:fldChar w:fldCharType="end"/>
            </w:r>
          </w:p>
        </w:sdtContent>
      </w:sdt>
    </w:sdtContent>
  </w:sdt>
  <w:p w:rsidR="00F44720" w:rsidRDefault="00F44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720" w:rsidRDefault="00F44720" w:rsidP="00F44720">
      <w:pPr>
        <w:spacing w:after="0" w:line="240" w:lineRule="auto"/>
      </w:pPr>
      <w:r>
        <w:separator/>
      </w:r>
    </w:p>
  </w:footnote>
  <w:footnote w:type="continuationSeparator" w:id="0">
    <w:p w:rsidR="00F44720" w:rsidRDefault="00F44720" w:rsidP="00F44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20" w:rsidRDefault="00F44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46127"/>
    <w:multiLevelType w:val="hybridMultilevel"/>
    <w:tmpl w:val="C468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620BF"/>
    <w:multiLevelType w:val="hybridMultilevel"/>
    <w:tmpl w:val="09F6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242C9"/>
    <w:multiLevelType w:val="hybridMultilevel"/>
    <w:tmpl w:val="93FA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A5C17"/>
    <w:multiLevelType w:val="hybridMultilevel"/>
    <w:tmpl w:val="8632D2DC"/>
    <w:lvl w:ilvl="0" w:tplc="DADCAA6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20"/>
    <w:rsid w:val="000F3151"/>
    <w:rsid w:val="0016315F"/>
    <w:rsid w:val="00290107"/>
    <w:rsid w:val="002B00EA"/>
    <w:rsid w:val="003B269F"/>
    <w:rsid w:val="005853C2"/>
    <w:rsid w:val="00A86417"/>
    <w:rsid w:val="00A96A0D"/>
    <w:rsid w:val="00BF5BBF"/>
    <w:rsid w:val="00C63C5E"/>
    <w:rsid w:val="00D92257"/>
    <w:rsid w:val="00DE314D"/>
    <w:rsid w:val="00E153BF"/>
    <w:rsid w:val="00E61B3D"/>
    <w:rsid w:val="00F4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B69B57"/>
  <w15:docId w15:val="{3C5816A8-3B68-4A7A-8047-1F8F03CF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7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720"/>
  </w:style>
  <w:style w:type="paragraph" w:styleId="Footer">
    <w:name w:val="footer"/>
    <w:basedOn w:val="Normal"/>
    <w:link w:val="FooterChar"/>
    <w:uiPriority w:val="99"/>
    <w:unhideWhenUsed/>
    <w:rsid w:val="00F44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720"/>
  </w:style>
  <w:style w:type="paragraph" w:styleId="ListParagraph">
    <w:name w:val="List Paragraph"/>
    <w:basedOn w:val="Normal"/>
    <w:uiPriority w:val="34"/>
    <w:qFormat/>
    <w:rsid w:val="005853C2"/>
    <w:pPr>
      <w:ind w:left="720"/>
      <w:contextualSpacing/>
    </w:pPr>
  </w:style>
  <w:style w:type="character" w:styleId="Hyperlink">
    <w:name w:val="Hyperlink"/>
    <w:basedOn w:val="DefaultParagraphFont"/>
    <w:uiPriority w:val="99"/>
    <w:unhideWhenUsed/>
    <w:rsid w:val="00BF5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hewkin@dhewd.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Erik</dc:creator>
  <cp:lastModifiedBy>Erickson, Alicia</cp:lastModifiedBy>
  <cp:revision>14</cp:revision>
  <dcterms:created xsi:type="dcterms:W3CDTF">2017-11-14T15:32:00Z</dcterms:created>
  <dcterms:modified xsi:type="dcterms:W3CDTF">2023-02-15T21:54:00Z</dcterms:modified>
</cp:coreProperties>
</file>